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84B" w:rsidRDefault="000B084B">
      <w:pPr>
        <w:keepNext/>
        <w:keepLines/>
        <w:jc w:val="right"/>
        <w:rPr>
          <w:b/>
          <w:bCs/>
          <w:sz w:val="26"/>
          <w:szCs w:val="26"/>
        </w:rPr>
      </w:pPr>
    </w:p>
    <w:p w:rsidR="000B084B" w:rsidRDefault="000B084B">
      <w:pPr>
        <w:keepNext/>
        <w:keepLines/>
        <w:rPr>
          <w:sz w:val="26"/>
          <w:szCs w:val="26"/>
        </w:rPr>
      </w:pPr>
    </w:p>
    <w:p w:rsidR="000B084B" w:rsidRDefault="000B084B">
      <w:pPr>
        <w:keepNext/>
        <w:keepLines/>
        <w:rPr>
          <w:sz w:val="26"/>
          <w:szCs w:val="26"/>
        </w:rPr>
      </w:pPr>
    </w:p>
    <w:p w:rsidR="000B084B" w:rsidRDefault="000B084B">
      <w:pPr>
        <w:keepNext/>
        <w:keepLines/>
        <w:rPr>
          <w:sz w:val="26"/>
          <w:szCs w:val="26"/>
        </w:rPr>
      </w:pPr>
    </w:p>
    <w:p w:rsidR="000B084B" w:rsidRDefault="000B084B">
      <w:pPr>
        <w:keepNext/>
        <w:keepLines/>
        <w:rPr>
          <w:sz w:val="26"/>
          <w:szCs w:val="26"/>
        </w:rPr>
      </w:pPr>
    </w:p>
    <w:p w:rsidR="000B084B" w:rsidRDefault="000B084B">
      <w:pPr>
        <w:keepNext/>
        <w:keepLines/>
        <w:rPr>
          <w:sz w:val="26"/>
          <w:szCs w:val="26"/>
        </w:rPr>
      </w:pPr>
    </w:p>
    <w:p w:rsidR="000B084B" w:rsidRDefault="000B084B">
      <w:pPr>
        <w:keepNext/>
        <w:keepLines/>
        <w:rPr>
          <w:sz w:val="26"/>
          <w:szCs w:val="26"/>
        </w:rPr>
      </w:pPr>
    </w:p>
    <w:p w:rsidR="000B084B" w:rsidRDefault="000B084B">
      <w:pPr>
        <w:keepNext/>
        <w:keepLines/>
        <w:rPr>
          <w:sz w:val="26"/>
          <w:szCs w:val="26"/>
        </w:rPr>
      </w:pPr>
    </w:p>
    <w:p w:rsidR="000B084B" w:rsidRDefault="000B084B">
      <w:pPr>
        <w:keepNext/>
        <w:keepLines/>
        <w:rPr>
          <w:sz w:val="26"/>
          <w:szCs w:val="26"/>
        </w:rPr>
      </w:pPr>
    </w:p>
    <w:p w:rsidR="000B084B" w:rsidRDefault="000B084B">
      <w:pPr>
        <w:keepNext/>
        <w:keepLines/>
        <w:rPr>
          <w:sz w:val="26"/>
          <w:szCs w:val="26"/>
        </w:rPr>
      </w:pPr>
    </w:p>
    <w:p w:rsidR="000B084B" w:rsidRDefault="000B084B">
      <w:pPr>
        <w:keepNext/>
        <w:keepLines/>
        <w:rPr>
          <w:sz w:val="26"/>
          <w:szCs w:val="26"/>
        </w:rPr>
      </w:pPr>
    </w:p>
    <w:p w:rsidR="000B084B" w:rsidRDefault="008816FE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поставку МТР</w:t>
      </w:r>
    </w:p>
    <w:p w:rsidR="000B084B" w:rsidRDefault="000B084B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0B084B" w:rsidRDefault="000B084B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0B084B" w:rsidRDefault="008816FE">
      <w:pPr>
        <w:widowControl w:val="0"/>
        <w:tabs>
          <w:tab w:val="left" w:pos="0"/>
        </w:tabs>
        <w:spacing w:before="120" w:after="120"/>
        <w:jc w:val="center"/>
        <w:rPr>
          <w:rStyle w:val="aff1"/>
          <w:b w:val="0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«ОКПД2 19.20.29.160. Поставка масла турбинного марки ТП-30 для гидротурбины ст.№18 для нужд филиала ПАО «РусГидро» - «Саратовская ГЭС» в рамках инвестиционного проекта Е_ T-1300-00205 </w:t>
      </w:r>
    </w:p>
    <w:p w:rsidR="000B084B" w:rsidRDefault="008816FE">
      <w:pPr>
        <w:keepNext/>
        <w:keepLines/>
        <w:jc w:val="center"/>
        <w:rPr>
          <w:rFonts w:eastAsia="Calibri"/>
          <w:b/>
          <w:i/>
          <w:sz w:val="26"/>
          <w:szCs w:val="26"/>
          <w:lang w:val="en-US"/>
        </w:rPr>
      </w:pPr>
      <w:r>
        <w:rPr>
          <w:rFonts w:eastAsia="Calibri"/>
          <w:b/>
          <w:sz w:val="26"/>
          <w:szCs w:val="26"/>
        </w:rPr>
        <w:t xml:space="preserve">Лот </w:t>
      </w:r>
      <w:r>
        <w:rPr>
          <w:rFonts w:eastAsia="Calibri"/>
          <w:b/>
          <w:sz w:val="26"/>
          <w:szCs w:val="26"/>
          <w:lang w:val="en-US"/>
        </w:rPr>
        <w:t xml:space="preserve">№ </w:t>
      </w:r>
      <w:r>
        <w:rPr>
          <w:rFonts w:eastAsia="Calibri"/>
          <w:b/>
          <w:sz w:val="26"/>
          <w:szCs w:val="26"/>
          <w:lang w:val="en-US"/>
        </w:rPr>
        <w:t>7-ТПиР-2026-СарГЭС</w:t>
      </w:r>
    </w:p>
    <w:p w:rsidR="000B084B" w:rsidRDefault="000B084B">
      <w:pPr>
        <w:keepNext/>
        <w:keepLines/>
        <w:jc w:val="both"/>
        <w:rPr>
          <w:sz w:val="26"/>
          <w:szCs w:val="26"/>
        </w:rPr>
      </w:pPr>
    </w:p>
    <w:p w:rsidR="000B084B" w:rsidRDefault="008816FE">
      <w:pPr>
        <w:rPr>
          <w:sz w:val="26"/>
          <w:szCs w:val="26"/>
        </w:rPr>
      </w:pPr>
      <w:r>
        <w:br w:type="page"/>
      </w:r>
    </w:p>
    <w:p w:rsidR="000B084B" w:rsidRDefault="008816FE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-1538504266"/>
        <w:docPartObj>
          <w:docPartGallery w:val="Table of Contents"/>
          <w:docPartUnique/>
        </w:docPartObj>
      </w:sdtPr>
      <w:sdtEndPr/>
      <w:sdtContent>
        <w:p w:rsidR="000B084B" w:rsidRDefault="008816FE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r>
            <w:fldChar w:fldCharType="begin"/>
          </w:r>
          <w:r>
            <w:rPr>
              <w:rStyle w:val="affc"/>
              <w:rFonts w:eastAsia="Calibri"/>
              <w:webHidden/>
            </w:rPr>
            <w:instrText xml:space="preserve"> TOC \z \o "1-4" \u \h</w:instrText>
          </w:r>
          <w:r>
            <w:rPr>
              <w:rStyle w:val="affc"/>
              <w:rFonts w:eastAsia="Calibri"/>
            </w:rPr>
            <w:fldChar w:fldCharType="separate"/>
          </w:r>
          <w:hyperlink w:anchor="_Toc189032985">
            <w:r>
              <w:rPr>
                <w:rStyle w:val="affc"/>
                <w:rFonts w:eastAsia="Calibri"/>
                <w:webHidden/>
              </w:rPr>
              <w:t>1.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c"/>
                <w:rFonts w:eastAsia="Calibri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_Toc189032985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B084B" w:rsidRDefault="008816FE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9032986">
            <w:r>
              <w:rPr>
                <w:rStyle w:val="affc"/>
                <w:rFonts w:eastAsia="Calibri"/>
                <w:iCs/>
                <w:webHidden/>
                <w:lang w:val="en-US"/>
              </w:rPr>
              <w:t>1.1.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  <w:rFonts w:eastAsia="Calibri"/>
                <w:lang w:val="en-US"/>
              </w:rPr>
              <w:t xml:space="preserve">Обозначения </w:t>
            </w:r>
            <w:r>
              <w:rPr>
                <w:rStyle w:val="affc"/>
                <w:rFonts w:eastAsia="Calibri"/>
                <w:lang w:val="en-US"/>
              </w:rPr>
              <w:t>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_Toc189032986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B084B" w:rsidRDefault="008816FE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9032987">
            <w:r>
              <w:rPr>
                <w:rStyle w:val="affc"/>
                <w:rFonts w:eastAsia="Calibri"/>
                <w:iCs/>
                <w:webHidden/>
              </w:rPr>
              <w:t>1.2.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  <w:rFonts w:eastAsia="Calibri"/>
              </w:rPr>
              <w:t>Наименование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_Toc189032987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B084B" w:rsidRDefault="008816FE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9032988">
            <w:r>
              <w:rPr>
                <w:rStyle w:val="affc"/>
                <w:rFonts w:eastAsia="Calibri"/>
                <w:iCs/>
                <w:webHidden/>
              </w:rPr>
              <w:t>1.3.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  <w:rFonts w:eastAsia="Calibri"/>
              </w:rPr>
              <w:t>Цель использования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_Toc189032988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B084B" w:rsidRDefault="008816FE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9032989">
            <w:r>
              <w:rPr>
                <w:rStyle w:val="affc"/>
                <w:rFonts w:eastAsia="Calibri"/>
                <w:iCs/>
                <w:webHidden/>
              </w:rPr>
              <w:t>1.4.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  <w:rFonts w:eastAsia="Calibri"/>
              </w:rPr>
              <w:t>Существующее положение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_Toc189032989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B084B" w:rsidRDefault="008816FE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89032990">
            <w:r>
              <w:rPr>
                <w:rStyle w:val="affc"/>
                <w:rFonts w:eastAsia="Calibri"/>
                <w:webHidden/>
              </w:rPr>
              <w:t>2.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c"/>
                <w:rFonts w:eastAsia="Calibri"/>
                <w:iCs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_Toc189032990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B084B" w:rsidRDefault="008816FE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9032991">
            <w:r>
              <w:rPr>
                <w:rStyle w:val="affc"/>
                <w:rFonts w:eastAsia="Calibri"/>
                <w:iCs/>
                <w:webHidden/>
              </w:rPr>
              <w:t>2.1.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  <w:rFonts w:eastAsia="Calibri"/>
              </w:rPr>
              <w:t>Требования к объемам и срокам поставки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_Toc189032991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B084B" w:rsidRDefault="008816FE">
          <w:pPr>
            <w:pStyle w:val="38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9032992">
            <w:r>
              <w:rPr>
                <w:rStyle w:val="affc"/>
                <w:rFonts w:eastAsia="Calibri"/>
                <w:webHidden/>
              </w:rPr>
              <w:t>2.1.1.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  <w:rFonts w:eastAsia="Calibri"/>
              </w:rPr>
              <w:t>Перечень и объем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_Toc189032992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B084B" w:rsidRDefault="008816FE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89032993">
            <w:r>
              <w:rPr>
                <w:rStyle w:val="affc"/>
                <w:rFonts w:eastAsia="Calibri"/>
                <w:webHidden/>
              </w:rPr>
              <w:t>Таблица 1.1 Перечень и объем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</w:instrText>
            </w:r>
            <w:r>
              <w:rPr>
                <w:webHidden/>
              </w:rPr>
              <w:instrText>9032993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B084B" w:rsidRDefault="008816FE">
          <w:pPr>
            <w:pStyle w:val="38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9032994">
            <w:r>
              <w:rPr>
                <w:rStyle w:val="affc"/>
                <w:rFonts w:eastAsia="Calibri"/>
                <w:webHidden/>
              </w:rPr>
              <w:t>2.1.2.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  <w:rFonts w:eastAsia="Calibri"/>
              </w:rPr>
              <w:t>Требования к срокам поставки продукции и оказания сопутствующих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_Toc189032994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B084B" w:rsidRDefault="008816FE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89032995">
            <w:r>
              <w:rPr>
                <w:rStyle w:val="affc"/>
                <w:rFonts w:eastAsia="Calibri"/>
                <w:webHidden/>
              </w:rPr>
              <w:t>Таблица 2.1 Требования по срокам поставки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_Toc189032995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B084B" w:rsidRDefault="008816FE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9032996">
            <w:r>
              <w:rPr>
                <w:rStyle w:val="affc"/>
                <w:rFonts w:eastAsia="Calibri"/>
                <w:iCs/>
                <w:webHidden/>
              </w:rPr>
              <w:t>2.2.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  <w:rFonts w:eastAsia="Calibri"/>
              </w:rPr>
              <w:t>Требования к качеству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_Toc189032996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0B084B" w:rsidRDefault="008816FE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89032997">
            <w:r>
              <w:rPr>
                <w:rStyle w:val="affc"/>
                <w:rFonts w:eastAsia="Calibri"/>
                <w:webHidden/>
              </w:rPr>
              <w:t>Таблица 3. 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_Toc189032997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0B084B" w:rsidRDefault="008816FE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89032998">
            <w:r>
              <w:rPr>
                <w:rStyle w:val="affc"/>
                <w:rFonts w:eastAsia="Calibri"/>
                <w:webHidden/>
              </w:rPr>
              <w:t>3.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c"/>
                <w:rFonts w:eastAsia="Calibri"/>
              </w:rPr>
              <w:t>Требования к документации по ценообразованию на этапе закупки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_Toc189032998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0B084B" w:rsidRDefault="008816FE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89032999">
            <w:r>
              <w:rPr>
                <w:rStyle w:val="affc"/>
                <w:rFonts w:eastAsia="Calibri"/>
                <w:webHidden/>
              </w:rPr>
              <w:t>4.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c"/>
                <w:rFonts w:eastAsia="Calibri"/>
              </w:rPr>
              <w:t>Приложения: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_Toc189032999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  <w:r>
            <w:rPr>
              <w:rStyle w:val="affc"/>
            </w:rPr>
            <w:fldChar w:fldCharType="end"/>
          </w:r>
        </w:p>
      </w:sdtContent>
    </w:sdt>
    <w:p w:rsidR="000B084B" w:rsidRDefault="000B084B">
      <w:pPr>
        <w:pStyle w:val="17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</w:p>
    <w:p w:rsidR="000B084B" w:rsidRDefault="000B084B">
      <w:pPr>
        <w:pStyle w:val="22"/>
        <w:tabs>
          <w:tab w:val="clear" w:pos="0"/>
        </w:tabs>
        <w:ind w:left="0" w:firstLine="0"/>
        <w:rPr>
          <w:b w:val="0"/>
          <w:i/>
        </w:rPr>
      </w:pPr>
    </w:p>
    <w:p w:rsidR="000B084B" w:rsidRDefault="008816FE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0B084B" w:rsidRDefault="008816FE">
      <w:pPr>
        <w:pStyle w:val="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bookmarkStart w:id="0" w:name="_Toc51339692"/>
      <w:bookmarkStart w:id="1" w:name="_Toc189032985"/>
      <w:r>
        <w:rPr>
          <w:lang w:val="ru-RU"/>
        </w:rPr>
        <w:lastRenderedPageBreak/>
        <w:t>Общие сведен</w:t>
      </w:r>
      <w:bookmarkEnd w:id="0"/>
      <w:r>
        <w:rPr>
          <w:lang w:val="ru-RU"/>
        </w:rPr>
        <w:t>ия</w:t>
      </w:r>
      <w:bookmarkEnd w:id="1"/>
    </w:p>
    <w:p w:rsidR="000B084B" w:rsidRDefault="008816FE">
      <w:pPr>
        <w:pStyle w:val="4"/>
        <w:numPr>
          <w:ilvl w:val="1"/>
          <w:numId w:val="3"/>
        </w:numPr>
        <w:spacing w:after="120"/>
        <w:rPr>
          <w:lang w:val="en-US"/>
        </w:rPr>
      </w:pPr>
      <w:bookmarkStart w:id="2" w:name="_Toc189032986"/>
      <w:r>
        <w:rPr>
          <w:lang w:val="en-US"/>
        </w:rPr>
        <w:t>Обозначения и сокращени</w:t>
      </w:r>
      <w:r>
        <w:rPr>
          <w:lang w:val="en-US"/>
        </w:rPr>
        <w:t>я</w:t>
      </w:r>
      <w:bookmarkEnd w:id="2"/>
    </w:p>
    <w:tbl>
      <w:tblPr>
        <w:tblStyle w:val="affff7"/>
        <w:tblW w:w="9911" w:type="dxa"/>
        <w:tblLayout w:type="fixed"/>
        <w:tblLook w:val="04A0" w:firstRow="1" w:lastRow="0" w:firstColumn="1" w:lastColumn="0" w:noHBand="0" w:noVBand="1"/>
      </w:tblPr>
      <w:tblGrid>
        <w:gridCol w:w="1980"/>
        <w:gridCol w:w="7931"/>
      </w:tblGrid>
      <w:tr w:rsidR="000B084B">
        <w:tc>
          <w:tcPr>
            <w:tcW w:w="1980" w:type="dxa"/>
          </w:tcPr>
          <w:p w:rsidR="000B084B" w:rsidRDefault="008816FE">
            <w:pPr>
              <w:widowControl w:val="0"/>
              <w:rPr>
                <w:lang w:val="en-US" w:eastAsia="x-none"/>
              </w:rPr>
            </w:pPr>
            <w:r>
              <w:rPr>
                <w:lang w:val="en-US" w:eastAsia="x-none"/>
              </w:rPr>
              <w:t>МТР</w:t>
            </w:r>
          </w:p>
        </w:tc>
        <w:tc>
          <w:tcPr>
            <w:tcW w:w="7930" w:type="dxa"/>
          </w:tcPr>
          <w:p w:rsidR="000B084B" w:rsidRDefault="008816FE">
            <w:pPr>
              <w:widowControl w:val="0"/>
              <w:rPr>
                <w:lang w:val="en-US" w:eastAsia="x-none"/>
              </w:rPr>
            </w:pPr>
            <w:r>
              <w:rPr>
                <w:lang w:val="en-US" w:eastAsia="x-none"/>
              </w:rPr>
              <w:t>Материально-технические ресурсы</w:t>
            </w:r>
          </w:p>
        </w:tc>
      </w:tr>
      <w:tr w:rsidR="000B084B">
        <w:tc>
          <w:tcPr>
            <w:tcW w:w="1980" w:type="dxa"/>
          </w:tcPr>
          <w:p w:rsidR="000B084B" w:rsidRDefault="008816FE">
            <w:pPr>
              <w:widowControl w:val="0"/>
              <w:rPr>
                <w:lang w:val="en-US" w:eastAsia="x-none"/>
              </w:rPr>
            </w:pPr>
            <w:r>
              <w:rPr>
                <w:lang w:val="en-US" w:eastAsia="x-none"/>
              </w:rPr>
              <w:t>с</w:t>
            </w:r>
            <w:r>
              <w:rPr>
                <w:lang w:eastAsia="x-none"/>
              </w:rPr>
              <w:t xml:space="preserve">т. </w:t>
            </w:r>
            <w:r>
              <w:rPr>
                <w:lang w:val="en-US" w:eastAsia="x-none"/>
              </w:rPr>
              <w:t>№18</w:t>
            </w:r>
          </w:p>
        </w:tc>
        <w:tc>
          <w:tcPr>
            <w:tcW w:w="7930" w:type="dxa"/>
          </w:tcPr>
          <w:p w:rsidR="000B084B" w:rsidRDefault="008816FE">
            <w:pPr>
              <w:widowControl w:val="0"/>
              <w:rPr>
                <w:lang w:val="en-US" w:eastAsia="x-none"/>
              </w:rPr>
            </w:pPr>
            <w:r>
              <w:rPr>
                <w:lang w:val="en-US" w:eastAsia="x-none"/>
              </w:rPr>
              <w:t>Станционный №18</w:t>
            </w:r>
          </w:p>
        </w:tc>
      </w:tr>
      <w:tr w:rsidR="000B084B">
        <w:tc>
          <w:tcPr>
            <w:tcW w:w="1980" w:type="dxa"/>
          </w:tcPr>
          <w:p w:rsidR="000B084B" w:rsidRDefault="008816FE">
            <w:pPr>
              <w:widowControl w:val="0"/>
              <w:rPr>
                <w:lang w:val="en-US" w:eastAsia="x-none"/>
              </w:rPr>
            </w:pPr>
            <w:r>
              <w:rPr>
                <w:lang w:val="en-US" w:eastAsia="x-none"/>
              </w:rPr>
              <w:t>ГОСТ</w:t>
            </w:r>
          </w:p>
        </w:tc>
        <w:tc>
          <w:tcPr>
            <w:tcW w:w="7930" w:type="dxa"/>
          </w:tcPr>
          <w:p w:rsidR="000B084B" w:rsidRDefault="008816FE">
            <w:pPr>
              <w:widowControl w:val="0"/>
              <w:rPr>
                <w:lang w:val="en-US" w:eastAsia="x-none"/>
              </w:rPr>
            </w:pPr>
            <w:r>
              <w:rPr>
                <w:lang w:val="en-US" w:eastAsia="x-none"/>
              </w:rPr>
              <w:t>Государственный стандарт</w:t>
            </w:r>
          </w:p>
        </w:tc>
      </w:tr>
      <w:tr w:rsidR="000B084B">
        <w:tc>
          <w:tcPr>
            <w:tcW w:w="1980" w:type="dxa"/>
          </w:tcPr>
          <w:p w:rsidR="000B084B" w:rsidRDefault="008816FE">
            <w:pPr>
              <w:widowControl w:val="0"/>
              <w:rPr>
                <w:lang w:val="en-US" w:eastAsia="x-none"/>
              </w:rPr>
            </w:pPr>
            <w:r>
              <w:rPr>
                <w:lang w:val="en-US" w:eastAsia="x-none"/>
              </w:rPr>
              <w:t>РФ</w:t>
            </w:r>
          </w:p>
        </w:tc>
        <w:tc>
          <w:tcPr>
            <w:tcW w:w="7930" w:type="dxa"/>
          </w:tcPr>
          <w:p w:rsidR="000B084B" w:rsidRDefault="008816FE">
            <w:pPr>
              <w:widowControl w:val="0"/>
              <w:rPr>
                <w:lang w:val="en-US" w:eastAsia="x-none"/>
              </w:rPr>
            </w:pPr>
            <w:r>
              <w:rPr>
                <w:lang w:val="en-US" w:eastAsia="x-none"/>
              </w:rPr>
              <w:t>Российская Федерация</w:t>
            </w:r>
          </w:p>
        </w:tc>
      </w:tr>
    </w:tbl>
    <w:p w:rsidR="000B084B" w:rsidRDefault="008816FE">
      <w:pPr>
        <w:pStyle w:val="4"/>
        <w:numPr>
          <w:ilvl w:val="1"/>
          <w:numId w:val="3"/>
        </w:numPr>
        <w:spacing w:before="240"/>
      </w:pPr>
      <w:bookmarkStart w:id="3" w:name="_Toc189032987"/>
      <w:bookmarkStart w:id="4" w:name="_Toc46743506"/>
      <w:r>
        <w:t>Наименование закупаемой продукции</w:t>
      </w:r>
      <w:bookmarkEnd w:id="3"/>
      <w:bookmarkEnd w:id="4"/>
    </w:p>
    <w:p w:rsidR="000B084B" w:rsidRDefault="008816FE">
      <w:pPr>
        <w:jc w:val="both"/>
        <w:rPr>
          <w:i/>
          <w:lang w:eastAsia="x-none"/>
        </w:rPr>
      </w:pPr>
      <w:r>
        <w:rPr>
          <w:sz w:val="24"/>
          <w:szCs w:val="24"/>
          <w:lang w:eastAsia="x-none"/>
        </w:rPr>
        <w:t xml:space="preserve">ОКПД2 19.20.29.160 Поставка масла турбинного марки ТП-30 для гидротурбины ст.№18 для нужд филиала ПАО “РусГидро” – “Саратовская ГЭС” в рамках инвестиционного проекта </w:t>
      </w:r>
      <w:r>
        <w:rPr>
          <w:sz w:val="24"/>
          <w:szCs w:val="24"/>
          <w:lang w:val="en-US" w:eastAsia="x-none"/>
        </w:rPr>
        <w:t>E</w:t>
      </w:r>
      <w:r>
        <w:rPr>
          <w:sz w:val="24"/>
          <w:szCs w:val="24"/>
          <w:lang w:eastAsia="x-none"/>
        </w:rPr>
        <w:t>_</w:t>
      </w:r>
      <w:r>
        <w:rPr>
          <w:sz w:val="24"/>
          <w:szCs w:val="24"/>
          <w:lang w:val="en-US" w:eastAsia="x-none"/>
        </w:rPr>
        <w:t>T</w:t>
      </w:r>
      <w:r>
        <w:rPr>
          <w:sz w:val="24"/>
          <w:szCs w:val="24"/>
          <w:lang w:eastAsia="x-none"/>
        </w:rPr>
        <w:t xml:space="preserve">-1300-00205 </w:t>
      </w:r>
    </w:p>
    <w:p w:rsidR="000B084B" w:rsidRDefault="008816FE">
      <w:pPr>
        <w:pStyle w:val="4"/>
        <w:numPr>
          <w:ilvl w:val="1"/>
          <w:numId w:val="3"/>
        </w:numPr>
        <w:spacing w:before="240"/>
        <w:ind w:left="431" w:hanging="431"/>
        <w:rPr>
          <w:lang w:val="ru-RU"/>
        </w:rPr>
      </w:pPr>
      <w:bookmarkStart w:id="5" w:name="_Toc46743507"/>
      <w:bookmarkStart w:id="6" w:name="_Toc189032988"/>
      <w:r>
        <w:t xml:space="preserve">Цель </w:t>
      </w:r>
      <w:bookmarkEnd w:id="5"/>
      <w:r>
        <w:rPr>
          <w:lang w:val="ru-RU"/>
        </w:rPr>
        <w:t>использования закупаемой продукции</w:t>
      </w:r>
      <w:bookmarkEnd w:id="6"/>
      <w:r>
        <w:rPr>
          <w:lang w:val="ru-RU"/>
        </w:rPr>
        <w:t xml:space="preserve"> </w:t>
      </w:r>
    </w:p>
    <w:p w:rsidR="000B084B" w:rsidRDefault="008816FE">
      <w:pPr>
        <w:spacing w:line="276" w:lineRule="auto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Модернизация гидротурбины ст. №1</w:t>
      </w:r>
      <w:r>
        <w:rPr>
          <w:sz w:val="24"/>
          <w:szCs w:val="24"/>
          <w:lang w:val="en-US" w:eastAsia="x-none"/>
        </w:rPr>
        <w:t>8</w:t>
      </w:r>
      <w:r>
        <w:rPr>
          <w:sz w:val="24"/>
          <w:szCs w:val="24"/>
          <w:lang w:eastAsia="x-none"/>
        </w:rPr>
        <w:t>.</w:t>
      </w:r>
    </w:p>
    <w:p w:rsidR="000B084B" w:rsidRDefault="008816FE">
      <w:pPr>
        <w:pStyle w:val="4"/>
        <w:numPr>
          <w:ilvl w:val="1"/>
          <w:numId w:val="3"/>
        </w:numPr>
        <w:spacing w:before="240"/>
      </w:pPr>
      <w:bookmarkStart w:id="7" w:name="_Toc46743508"/>
      <w:bookmarkStart w:id="8" w:name="_Toc189032989"/>
      <w:r>
        <w:t>Существующее положение</w:t>
      </w:r>
      <w:bookmarkEnd w:id="7"/>
      <w:bookmarkEnd w:id="8"/>
      <w:r>
        <w:rPr>
          <w:lang w:val="ru-RU"/>
        </w:rPr>
        <w:t xml:space="preserve"> </w:t>
      </w:r>
    </w:p>
    <w:p w:rsidR="000B084B" w:rsidRDefault="008816FE">
      <w:pPr>
        <w:jc w:val="both"/>
      </w:pPr>
      <w:r>
        <w:rPr>
          <w:sz w:val="24"/>
          <w:szCs w:val="24"/>
          <w:lang w:eastAsia="x-none"/>
        </w:rPr>
        <w:t>Гидроагрегат ст. №18 выведен в модернизацию на период с 15.06.2026 по 31.07.2027.</w:t>
      </w:r>
    </w:p>
    <w:p w:rsidR="000B084B" w:rsidRDefault="008816FE">
      <w:pPr>
        <w:pStyle w:val="1"/>
        <w:keepLines/>
        <w:numPr>
          <w:ilvl w:val="0"/>
          <w:numId w:val="3"/>
        </w:numPr>
        <w:ind w:left="357" w:hanging="357"/>
        <w:jc w:val="center"/>
        <w:rPr>
          <w:iCs/>
          <w:caps/>
          <w:lang w:val="ru-RU"/>
        </w:rPr>
      </w:pPr>
      <w:bookmarkStart w:id="9" w:name="_Toc50125126"/>
      <w:bookmarkStart w:id="10" w:name="_Toc46743510"/>
      <w:bookmarkStart w:id="11" w:name="_Toc51339693"/>
      <w:bookmarkStart w:id="12" w:name="_Toc189032990"/>
      <w:bookmarkEnd w:id="9"/>
      <w:bookmarkEnd w:id="10"/>
      <w:r>
        <w:rPr>
          <w:iCs/>
        </w:rPr>
        <w:t>Требования к продукции</w:t>
      </w:r>
      <w:bookmarkEnd w:id="11"/>
      <w:bookmarkEnd w:id="12"/>
    </w:p>
    <w:p w:rsidR="000B084B" w:rsidRDefault="008816FE">
      <w:pPr>
        <w:pStyle w:val="4"/>
        <w:numPr>
          <w:ilvl w:val="1"/>
          <w:numId w:val="3"/>
        </w:numPr>
        <w:rPr>
          <w:lang w:val="ru-RU"/>
        </w:rPr>
      </w:pPr>
      <w:bookmarkStart w:id="13" w:name="_Toc189032991"/>
      <w:r>
        <w:t xml:space="preserve">Требования к объемам и срокам </w:t>
      </w:r>
      <w:r>
        <w:rPr>
          <w:lang w:val="ru-RU"/>
        </w:rPr>
        <w:t>поставки</w:t>
      </w:r>
      <w:bookmarkEnd w:id="13"/>
    </w:p>
    <w:p w:rsidR="000B084B" w:rsidRDefault="008816FE">
      <w:pPr>
        <w:pStyle w:val="31"/>
        <w:numPr>
          <w:ilvl w:val="2"/>
          <w:numId w:val="3"/>
        </w:numPr>
        <w:ind w:left="794"/>
      </w:pPr>
      <w:bookmarkStart w:id="14" w:name="_Toc54785618"/>
      <w:bookmarkStart w:id="15" w:name="_Toc189032992"/>
      <w:bookmarkStart w:id="16" w:name="_Toc51339695"/>
      <w:r>
        <w:t>Перечень и объем закупаемой продукции</w:t>
      </w:r>
      <w:bookmarkEnd w:id="14"/>
      <w:bookmarkEnd w:id="15"/>
    </w:p>
    <w:p w:rsidR="000B084B" w:rsidRDefault="008816FE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  <w:lang w:val="ru-RU"/>
        </w:rPr>
      </w:pPr>
      <w:bookmarkStart w:id="17" w:name="_Toc18903299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1.1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6"/>
      <w:r>
        <w:rPr>
          <w:sz w:val="24"/>
          <w:szCs w:val="24"/>
          <w:lang w:val="ru-RU"/>
        </w:rPr>
        <w:t xml:space="preserve">и объем закупаемой </w:t>
      </w:r>
      <w:r>
        <w:rPr>
          <w:sz w:val="24"/>
          <w:szCs w:val="24"/>
          <w:lang w:val="ru-RU"/>
        </w:rPr>
        <w:t>продукции</w:t>
      </w:r>
      <w:bookmarkEnd w:id="17"/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9"/>
        <w:gridCol w:w="3866"/>
        <w:gridCol w:w="1419"/>
        <w:gridCol w:w="1841"/>
        <w:gridCol w:w="1845"/>
      </w:tblGrid>
      <w:tr w:rsidR="000B084B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84B" w:rsidRDefault="008816FE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0B084B" w:rsidRDefault="008816FE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84B" w:rsidRDefault="008816FE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84B" w:rsidRDefault="008816FE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84B" w:rsidRDefault="008816FE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84B" w:rsidRDefault="008816FE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0B084B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84B" w:rsidRDefault="008816F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84B" w:rsidRDefault="008816F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84B" w:rsidRDefault="008816F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84B" w:rsidRDefault="008816F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84B" w:rsidRDefault="008816F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0B084B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84B" w:rsidRDefault="000B084B">
            <w:pPr>
              <w:pStyle w:val="aff0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84B" w:rsidRDefault="008816FE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Масло турбинное ТП-30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кг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40 500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Бочка номинальным объемом 205 л и(или) 216,5 л</w:t>
            </w:r>
          </w:p>
        </w:tc>
      </w:tr>
    </w:tbl>
    <w:p w:rsidR="000B084B" w:rsidRDefault="008816FE">
      <w:pPr>
        <w:pStyle w:val="31"/>
        <w:numPr>
          <w:ilvl w:val="2"/>
          <w:numId w:val="3"/>
        </w:numPr>
        <w:ind w:hanging="940"/>
        <w:rPr>
          <w:lang w:val="ru-RU"/>
        </w:rPr>
      </w:pPr>
      <w:bookmarkStart w:id="18" w:name="_Toc51339696"/>
      <w:bookmarkStart w:id="19" w:name="_Toc189032994"/>
      <w:r>
        <w:rPr>
          <w:lang w:val="ru-RU"/>
        </w:rPr>
        <w:t xml:space="preserve">Требования </w:t>
      </w:r>
      <w:bookmarkEnd w:id="18"/>
      <w:r>
        <w:rPr>
          <w:lang w:val="ru-RU"/>
        </w:rPr>
        <w:t>к срокам поставки продукции и оказания сопутствующих услуг</w:t>
      </w:r>
      <w:bookmarkEnd w:id="19"/>
    </w:p>
    <w:p w:rsidR="000B084B" w:rsidRDefault="008816FE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  <w:lang w:val="ru-RU"/>
        </w:rPr>
      </w:pPr>
      <w:bookmarkStart w:id="20" w:name="_Toc50125126_Копия_1"/>
      <w:bookmarkStart w:id="21" w:name="_Toc50125127"/>
      <w:bookmarkStart w:id="22" w:name="_Toc51339697"/>
      <w:bookmarkStart w:id="23" w:name="_Toc189032995"/>
      <w:bookmarkEnd w:id="20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</w:t>
      </w:r>
      <w:bookmarkStart w:id="24" w:name="_Hlk50465284"/>
      <w:r>
        <w:rPr>
          <w:sz w:val="24"/>
          <w:szCs w:val="24"/>
        </w:rPr>
        <w:t xml:space="preserve">Требования по срокам </w:t>
      </w:r>
      <w:bookmarkEnd w:id="21"/>
      <w:bookmarkEnd w:id="22"/>
      <w:bookmarkEnd w:id="24"/>
      <w:r>
        <w:rPr>
          <w:sz w:val="24"/>
          <w:szCs w:val="24"/>
          <w:lang w:val="ru-RU"/>
        </w:rPr>
        <w:t>поставки продукции</w:t>
      </w:r>
      <w:bookmarkEnd w:id="23"/>
      <w:r>
        <w:rPr>
          <w:sz w:val="24"/>
          <w:szCs w:val="24"/>
          <w:lang w:val="ru-RU"/>
        </w:rPr>
        <w:t xml:space="preserve"> </w:t>
      </w:r>
    </w:p>
    <w:p w:rsidR="008816FE" w:rsidRPr="008816FE" w:rsidRDefault="008816FE" w:rsidP="008816FE">
      <w:pPr>
        <w:spacing w:before="240" w:after="60"/>
        <w:rPr>
          <w:lang w:val="en-US"/>
        </w:rPr>
      </w:pPr>
      <w:r>
        <w:rPr>
          <w:sz w:val="24"/>
          <w:szCs w:val="24"/>
        </w:rPr>
        <w:t>Единовременная поставка</w:t>
      </w:r>
      <w:r>
        <w:rPr>
          <w:sz w:val="24"/>
          <w:szCs w:val="24"/>
          <w:lang w:val="en-US"/>
        </w:rPr>
        <w:t>.</w:t>
      </w:r>
    </w:p>
    <w:p w:rsidR="008816FE" w:rsidRPr="008816FE" w:rsidRDefault="008816FE" w:rsidP="008816FE">
      <w:pPr>
        <w:rPr>
          <w:lang w:eastAsia="x-none"/>
        </w:rPr>
      </w:pP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133"/>
        <w:gridCol w:w="2548"/>
        <w:gridCol w:w="2981"/>
        <w:gridCol w:w="3114"/>
      </w:tblGrid>
      <w:tr w:rsidR="000B084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0B084B">
        <w:trPr>
          <w:trHeight w:val="399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84B" w:rsidRDefault="008816FE">
            <w:pPr>
              <w:pStyle w:val="affff1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84B" w:rsidRDefault="008816FE">
            <w:pPr>
              <w:pStyle w:val="affff1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B084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84B" w:rsidRDefault="000B084B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Масло турбинное марки ТП-30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84B" w:rsidRDefault="008816FE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даты, следующей за датой </w:t>
            </w:r>
            <w:r>
              <w:rPr>
                <w:sz w:val="24"/>
                <w:szCs w:val="24"/>
              </w:rPr>
              <w:t>заключения Договора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84B" w:rsidRDefault="008816FE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Не позднее 30.11.2026</w:t>
            </w:r>
          </w:p>
        </w:tc>
      </w:tr>
    </w:tbl>
    <w:p w:rsidR="000B084B" w:rsidRDefault="000B084B">
      <w:pPr>
        <w:pStyle w:val="1"/>
        <w:tabs>
          <w:tab w:val="clear" w:pos="0"/>
        </w:tabs>
        <w:ind w:left="0" w:firstLine="0"/>
        <w:rPr>
          <w:sz w:val="24"/>
          <w:szCs w:val="24"/>
        </w:rPr>
        <w:sectPr w:rsidR="000B084B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  <w:bookmarkStart w:id="25" w:name="_Toc46743510_Копия_1"/>
      <w:bookmarkStart w:id="26" w:name="_GoBack"/>
      <w:bookmarkEnd w:id="25"/>
      <w:bookmarkEnd w:id="26"/>
    </w:p>
    <w:p w:rsidR="000B084B" w:rsidRDefault="008816FE">
      <w:pPr>
        <w:pStyle w:val="4"/>
        <w:numPr>
          <w:ilvl w:val="1"/>
          <w:numId w:val="3"/>
        </w:numPr>
      </w:pPr>
      <w:bookmarkStart w:id="27" w:name="_Toc46743511"/>
      <w:bookmarkStart w:id="28" w:name="_Toc189032996"/>
      <w:bookmarkStart w:id="29" w:name="_Toc51339698"/>
      <w:r>
        <w:lastRenderedPageBreak/>
        <w:t xml:space="preserve">Требования к </w:t>
      </w:r>
      <w:bookmarkEnd w:id="27"/>
      <w:r>
        <w:rPr>
          <w:lang w:val="ru-RU"/>
        </w:rPr>
        <w:t>качеству продукции</w:t>
      </w:r>
      <w:bookmarkEnd w:id="28"/>
    </w:p>
    <w:p w:rsidR="000B084B" w:rsidRDefault="008816FE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30" w:name="_Toc189032997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Требования к </w:t>
      </w:r>
      <w:r>
        <w:rPr>
          <w:sz w:val="24"/>
          <w:szCs w:val="24"/>
          <w:lang w:val="ru-RU"/>
        </w:rPr>
        <w:t>продукции</w:t>
      </w:r>
      <w:bookmarkEnd w:id="30"/>
      <w:r>
        <w:rPr>
          <w:sz w:val="24"/>
          <w:szCs w:val="24"/>
        </w:rPr>
        <w:t xml:space="preserve"> </w:t>
      </w:r>
      <w:bookmarkEnd w:id="29"/>
    </w:p>
    <w:p w:rsidR="000B084B" w:rsidRDefault="000B084B">
      <w:pPr>
        <w:rPr>
          <w:rStyle w:val="aff1"/>
          <w:b w:val="0"/>
          <w:sz w:val="24"/>
          <w:szCs w:val="24"/>
        </w:rPr>
      </w:pPr>
    </w:p>
    <w:p w:rsidR="000B084B" w:rsidRDefault="008816FE">
      <w:pPr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Наименование продукции </w:t>
      </w:r>
      <w:r>
        <w:rPr>
          <w:b/>
          <w:bCs/>
          <w:iCs/>
          <w:sz w:val="24"/>
          <w:szCs w:val="24"/>
        </w:rPr>
        <w:t>(позиция №1 Таблицы 1.1): Масло турбинное марки ТП-30:</w:t>
      </w:r>
    </w:p>
    <w:p w:rsidR="000B084B" w:rsidRDefault="000B084B">
      <w:pPr>
        <w:jc w:val="both"/>
        <w:rPr>
          <w:rStyle w:val="aff1"/>
          <w:b w:val="0"/>
          <w:iCs/>
          <w:sz w:val="24"/>
          <w:szCs w:val="24"/>
        </w:rPr>
      </w:pPr>
    </w:p>
    <w:tbl>
      <w:tblPr>
        <w:tblStyle w:val="affff7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3"/>
        <w:gridCol w:w="1811"/>
        <w:gridCol w:w="2987"/>
        <w:gridCol w:w="2990"/>
        <w:gridCol w:w="3262"/>
        <w:gridCol w:w="3406"/>
      </w:tblGrid>
      <w:tr w:rsidR="000B084B">
        <w:tc>
          <w:tcPr>
            <w:tcW w:w="852" w:type="dxa"/>
            <w:vMerge w:val="restart"/>
            <w:vAlign w:val="center"/>
          </w:tcPr>
          <w:p w:rsidR="000B084B" w:rsidRDefault="008816F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11" w:type="dxa"/>
            <w:vMerge w:val="restart"/>
            <w:vAlign w:val="center"/>
          </w:tcPr>
          <w:p w:rsidR="000B084B" w:rsidRDefault="008816F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987" w:type="dxa"/>
            <w:vMerge w:val="restart"/>
            <w:vAlign w:val="center"/>
          </w:tcPr>
          <w:p w:rsidR="000B084B" w:rsidRDefault="008816F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6252" w:type="dxa"/>
            <w:gridSpan w:val="2"/>
            <w:vAlign w:val="center"/>
          </w:tcPr>
          <w:p w:rsidR="000B084B" w:rsidRDefault="008816F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3406" w:type="dxa"/>
            <w:vMerge w:val="restart"/>
            <w:vAlign w:val="center"/>
          </w:tcPr>
          <w:p w:rsidR="000B084B" w:rsidRDefault="008816F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0B084B">
        <w:tc>
          <w:tcPr>
            <w:tcW w:w="852" w:type="dxa"/>
            <w:vMerge/>
            <w:vAlign w:val="center"/>
          </w:tcPr>
          <w:p w:rsidR="000B084B" w:rsidRDefault="000B084B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1" w:type="dxa"/>
            <w:vMerge/>
            <w:vAlign w:val="center"/>
          </w:tcPr>
          <w:p w:rsidR="000B084B" w:rsidRDefault="000B084B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7" w:type="dxa"/>
            <w:vMerge/>
            <w:vAlign w:val="center"/>
          </w:tcPr>
          <w:p w:rsidR="000B084B" w:rsidRDefault="000B084B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0" w:type="dxa"/>
            <w:vAlign w:val="center"/>
          </w:tcPr>
          <w:p w:rsidR="000B084B" w:rsidRDefault="008816F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</w:t>
            </w:r>
            <w:r>
              <w:rPr>
                <w:b/>
                <w:bCs/>
                <w:sz w:val="24"/>
                <w:szCs w:val="24"/>
              </w:rPr>
              <w:t>характеристик</w:t>
            </w:r>
          </w:p>
        </w:tc>
        <w:tc>
          <w:tcPr>
            <w:tcW w:w="3262" w:type="dxa"/>
            <w:vAlign w:val="center"/>
          </w:tcPr>
          <w:p w:rsidR="000B084B" w:rsidRDefault="008816F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3406" w:type="dxa"/>
            <w:vMerge/>
            <w:vAlign w:val="center"/>
          </w:tcPr>
          <w:p w:rsidR="000B084B" w:rsidRDefault="000B084B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0B084B">
        <w:trPr>
          <w:trHeight w:val="341"/>
        </w:trPr>
        <w:tc>
          <w:tcPr>
            <w:tcW w:w="852" w:type="dxa"/>
            <w:vAlign w:val="center"/>
          </w:tcPr>
          <w:p w:rsidR="000B084B" w:rsidRDefault="008816FE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11" w:type="dxa"/>
            <w:vAlign w:val="center"/>
          </w:tcPr>
          <w:p w:rsidR="000B084B" w:rsidRDefault="008816F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7" w:type="dxa"/>
            <w:vAlign w:val="center"/>
          </w:tcPr>
          <w:p w:rsidR="000B084B" w:rsidRDefault="008816F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90" w:type="dxa"/>
            <w:vAlign w:val="center"/>
          </w:tcPr>
          <w:p w:rsidR="000B084B" w:rsidRDefault="008816F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262" w:type="dxa"/>
            <w:vAlign w:val="center"/>
          </w:tcPr>
          <w:p w:rsidR="000B084B" w:rsidRDefault="008816F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center"/>
          </w:tcPr>
          <w:p w:rsidR="000B084B" w:rsidRDefault="008816F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4456" w:type="dxa"/>
            <w:gridSpan w:val="5"/>
            <w:vAlign w:val="center"/>
          </w:tcPr>
          <w:p w:rsidR="000B084B" w:rsidRDefault="008816F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  <w:shd w:val="clear" w:color="auto" w:fill="auto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Физико-химические показатели</w:t>
            </w:r>
          </w:p>
        </w:tc>
        <w:tc>
          <w:tcPr>
            <w:tcW w:w="2987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ГОСТ 9972-2020</w:t>
            </w:r>
            <w:r>
              <w:rPr>
                <w:sz w:val="24"/>
                <w:szCs w:val="24"/>
              </w:rPr>
              <w:t xml:space="preserve"> для марки масла ТП-30</w:t>
            </w:r>
          </w:p>
        </w:tc>
        <w:tc>
          <w:tcPr>
            <w:tcW w:w="2990" w:type="dxa"/>
            <w:shd w:val="clear" w:color="auto" w:fill="auto"/>
          </w:tcPr>
          <w:p w:rsidR="000B084B" w:rsidRDefault="008816FE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3262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  <w:shd w:val="clear" w:color="auto" w:fill="auto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чистоты</w:t>
            </w:r>
          </w:p>
        </w:tc>
        <w:tc>
          <w:tcPr>
            <w:tcW w:w="2987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хуже 11 по ГОСТ 17216-2001</w:t>
            </w:r>
          </w:p>
        </w:tc>
        <w:tc>
          <w:tcPr>
            <w:tcW w:w="2990" w:type="dxa"/>
            <w:shd w:val="clear" w:color="auto" w:fill="auto"/>
          </w:tcPr>
          <w:p w:rsidR="000B084B" w:rsidRDefault="008816FE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3262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  <w:shd w:val="clear" w:color="auto" w:fill="auto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Наличие протокола испытаний</w:t>
            </w:r>
          </w:p>
        </w:tc>
        <w:tc>
          <w:tcPr>
            <w:tcW w:w="2987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испытания в соответствии с ГОСТ 9972-2020 для марки масла ТП-30</w:t>
            </w:r>
          </w:p>
        </w:tc>
        <w:tc>
          <w:tcPr>
            <w:tcW w:w="2990" w:type="dxa"/>
            <w:shd w:val="clear" w:color="auto" w:fill="auto"/>
          </w:tcPr>
          <w:p w:rsidR="000B084B" w:rsidRDefault="008816FE">
            <w:pPr>
              <w:widowControl w:val="0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Предоставить документ</w:t>
            </w:r>
          </w:p>
        </w:tc>
        <w:tc>
          <w:tcPr>
            <w:tcW w:w="3262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составе </w:t>
            </w:r>
            <w:r>
              <w:rPr>
                <w:sz w:val="24"/>
                <w:szCs w:val="24"/>
              </w:rPr>
              <w:t>заявки предоставить Протокол испытаний с датой не ранее 1 (одного) года до подачи заявки на участие в закупке</w:t>
            </w:r>
          </w:p>
        </w:tc>
        <w:tc>
          <w:tcPr>
            <w:tcW w:w="3406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4456" w:type="dxa"/>
            <w:gridSpan w:val="5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безопасности</w:t>
            </w: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  <w:shd w:val="clear" w:color="auto" w:fill="auto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безопасности</w:t>
            </w:r>
          </w:p>
        </w:tc>
        <w:tc>
          <w:tcPr>
            <w:tcW w:w="2987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ГОСТ 9972-2020</w:t>
            </w:r>
          </w:p>
        </w:tc>
        <w:tc>
          <w:tcPr>
            <w:tcW w:w="2990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3262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4456" w:type="dxa"/>
            <w:gridSpan w:val="5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доставке, </w:t>
            </w:r>
            <w:r>
              <w:rPr>
                <w:b/>
                <w:bCs/>
                <w:sz w:val="24"/>
                <w:szCs w:val="24"/>
              </w:rPr>
              <w:t>маркировке, упаковке, транспортировке, перемещению, условиям хранения, приемке и испытаниям</w:t>
            </w: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  <w:shd w:val="clear" w:color="auto" w:fill="auto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2987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Продукция должна быть доставлена Поставщиком по адресу: 413800, РФ, Саратовская область, г. Балаково, Саратовская ГЭС, машинный зал</w:t>
            </w:r>
          </w:p>
        </w:tc>
        <w:tc>
          <w:tcPr>
            <w:tcW w:w="2990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</w:t>
            </w:r>
            <w:r>
              <w:rPr>
                <w:i/>
                <w:sz w:val="24"/>
                <w:szCs w:val="24"/>
              </w:rPr>
              <w:t>ованием</w:t>
            </w:r>
          </w:p>
        </w:tc>
        <w:tc>
          <w:tcPr>
            <w:tcW w:w="3262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  <w:shd w:val="clear" w:color="auto" w:fill="auto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маркировке</w:t>
            </w:r>
          </w:p>
        </w:tc>
        <w:tc>
          <w:tcPr>
            <w:tcW w:w="2987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ГОСТ 9972-2020</w:t>
            </w:r>
          </w:p>
        </w:tc>
        <w:tc>
          <w:tcPr>
            <w:tcW w:w="2990" w:type="dxa"/>
            <w:shd w:val="clear" w:color="auto" w:fill="auto"/>
          </w:tcPr>
          <w:p w:rsidR="000B084B" w:rsidRDefault="008816FE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3262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  <w:shd w:val="clear" w:color="auto" w:fill="auto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упаковке</w:t>
            </w:r>
          </w:p>
        </w:tc>
        <w:tc>
          <w:tcPr>
            <w:tcW w:w="2987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Стоимость тары и упаковки включена в Цену Договора. Тара и упаковка возврату не подлежат.</w:t>
            </w:r>
          </w:p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Упаковка и маркировка должна быть </w:t>
            </w:r>
            <w:r>
              <w:rPr>
                <w:sz w:val="24"/>
                <w:szCs w:val="24"/>
              </w:rPr>
              <w:t>произведена по ГОСТ 1510 и обеспечивать безопасную транспортировку и длительное хранение.</w:t>
            </w:r>
          </w:p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Упаковка – металлические бочки по ГОСТ 13950.</w:t>
            </w:r>
          </w:p>
        </w:tc>
        <w:tc>
          <w:tcPr>
            <w:tcW w:w="2990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3262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</w:tr>
      <w:tr w:rsidR="000B084B">
        <w:tc>
          <w:tcPr>
            <w:tcW w:w="852" w:type="dxa"/>
            <w:vAlign w:val="center"/>
          </w:tcPr>
          <w:p w:rsidR="000B084B" w:rsidRDefault="008816FE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  <w:r>
              <w:t>1</w:t>
            </w:r>
          </w:p>
        </w:tc>
        <w:tc>
          <w:tcPr>
            <w:tcW w:w="1811" w:type="dxa"/>
            <w:shd w:val="clear" w:color="auto" w:fill="auto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хранения в упаковке изготовителя</w:t>
            </w:r>
          </w:p>
        </w:tc>
        <w:tc>
          <w:tcPr>
            <w:tcW w:w="2987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12  месяцев с даты изготовления</w:t>
            </w:r>
          </w:p>
        </w:tc>
        <w:tc>
          <w:tcPr>
            <w:tcW w:w="2990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</w:t>
            </w:r>
            <w:r>
              <w:rPr>
                <w:i/>
                <w:sz w:val="24"/>
                <w:szCs w:val="24"/>
              </w:rPr>
              <w:t xml:space="preserve"> требованием</w:t>
            </w:r>
          </w:p>
        </w:tc>
        <w:tc>
          <w:tcPr>
            <w:tcW w:w="3262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  <w:shd w:val="clear" w:color="auto" w:fill="auto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 транспортирования</w:t>
            </w:r>
          </w:p>
        </w:tc>
        <w:tc>
          <w:tcPr>
            <w:tcW w:w="2987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Вся продукция должна быть упакована, и защищена, надлежащим образом для транспортировки.</w:t>
            </w:r>
          </w:p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Транспортирование по ГОСТ 1510.</w:t>
            </w:r>
          </w:p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Упаковка продукции должна соответствовать способу транспортировки и выдерживать, б</w:t>
            </w:r>
            <w:r>
              <w:rPr>
                <w:sz w:val="24"/>
                <w:szCs w:val="24"/>
              </w:rPr>
              <w:t xml:space="preserve">ез каких-либо ограничений, интенсивную подъёмно-транспортную обработку и воздействие экстремальных температур, соли, осадков во время </w:t>
            </w:r>
            <w:r>
              <w:rPr>
                <w:sz w:val="24"/>
                <w:szCs w:val="24"/>
              </w:rPr>
              <w:lastRenderedPageBreak/>
              <w:t>транспортировки, а также открытого хранения. Поставщик несёт ответственность за качество упаковки.</w:t>
            </w:r>
          </w:p>
        </w:tc>
        <w:tc>
          <w:tcPr>
            <w:tcW w:w="2990" w:type="dxa"/>
            <w:shd w:val="clear" w:color="auto" w:fill="auto"/>
          </w:tcPr>
          <w:p w:rsidR="000B084B" w:rsidRDefault="008816FE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3262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  <w:shd w:val="clear" w:color="auto" w:fill="auto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требования</w:t>
            </w:r>
          </w:p>
        </w:tc>
        <w:tc>
          <w:tcPr>
            <w:tcW w:w="2987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1.Поставщик своими силами осуществляет поставку Продукции по адресу, указанному в п. 3.1, на склад Покупателя. 2.Стоимость продукции должна включать все сопутствующие расходы, таможенные, налоговые и иные обязательные платежи, расходы п</w:t>
            </w:r>
            <w:r>
              <w:rPr>
                <w:sz w:val="24"/>
                <w:szCs w:val="24"/>
              </w:rPr>
              <w:t>о доставке, страховке и транспортировке до указанного адреса.</w:t>
            </w:r>
          </w:p>
        </w:tc>
        <w:tc>
          <w:tcPr>
            <w:tcW w:w="2990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3262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4798" w:type="dxa"/>
            <w:gridSpan w:val="2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990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  <w:shd w:val="clear" w:color="auto" w:fill="auto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  <w:lang w:val="en-US"/>
              </w:rPr>
              <w:t>гарантии на продукцию</w:t>
            </w:r>
          </w:p>
        </w:tc>
        <w:tc>
          <w:tcPr>
            <w:tcW w:w="2987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Гарантийный срок на Товар должен соответствовать гарантии, </w:t>
            </w:r>
            <w:r>
              <w:rPr>
                <w:sz w:val="24"/>
                <w:szCs w:val="24"/>
              </w:rPr>
              <w:t>заявленной производителем, данного товара, но не менее 36 месяцев и исчисляться со дня подписания соответствующих товарных накладных унифицированной формы ТОРГ</w:t>
            </w:r>
          </w:p>
        </w:tc>
        <w:tc>
          <w:tcPr>
            <w:tcW w:w="2990" w:type="dxa"/>
            <w:shd w:val="clear" w:color="auto" w:fill="auto"/>
          </w:tcPr>
          <w:p w:rsidR="000B084B" w:rsidRDefault="008816FE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Предложение по сроку гарантии</w:t>
            </w:r>
          </w:p>
        </w:tc>
        <w:tc>
          <w:tcPr>
            <w:tcW w:w="3262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  <w:shd w:val="clear" w:color="auto" w:fill="auto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изготовления</w:t>
            </w:r>
          </w:p>
        </w:tc>
        <w:tc>
          <w:tcPr>
            <w:tcW w:w="2987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Поставляемый Товар должен быть новым товаром</w:t>
            </w:r>
            <w:r>
              <w:rPr>
                <w:sz w:val="24"/>
                <w:szCs w:val="24"/>
              </w:rPr>
              <w:t xml:space="preserve"> (не более 12 </w:t>
            </w:r>
            <w:r>
              <w:rPr>
                <w:sz w:val="24"/>
                <w:szCs w:val="24"/>
              </w:rPr>
              <w:lastRenderedPageBreak/>
              <w:t>месяцев до дня подписания соответствующих Товарных накладных унифицированной формы ТОРГ-12), который не был в употреблении, в том числе, который не был восстановлен, у которого не были восстановлены потребительские свойства.</w:t>
            </w:r>
          </w:p>
        </w:tc>
        <w:tc>
          <w:tcPr>
            <w:tcW w:w="2990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Согласие с требов</w:t>
            </w:r>
            <w:r>
              <w:rPr>
                <w:i/>
                <w:sz w:val="24"/>
                <w:szCs w:val="24"/>
              </w:rPr>
              <w:t>анием</w:t>
            </w:r>
          </w:p>
        </w:tc>
        <w:tc>
          <w:tcPr>
            <w:tcW w:w="3262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4456" w:type="dxa"/>
            <w:gridSpan w:val="5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  <w:shd w:val="clear" w:color="auto" w:fill="auto"/>
          </w:tcPr>
          <w:p w:rsidR="000B084B" w:rsidRDefault="008816F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Документация при поставке</w:t>
            </w:r>
          </w:p>
        </w:tc>
        <w:tc>
          <w:tcPr>
            <w:tcW w:w="2987" w:type="dxa"/>
            <w:shd w:val="clear" w:color="auto" w:fill="auto"/>
          </w:tcPr>
          <w:p w:rsidR="000B084B" w:rsidRDefault="008816FE">
            <w:pPr>
              <w:pStyle w:val="aff0"/>
              <w:widowControl w:val="0"/>
              <w:numPr>
                <w:ilvl w:val="0"/>
                <w:numId w:val="10"/>
              </w:numPr>
              <w:ind w:left="209" w:firstLine="0"/>
            </w:pPr>
            <w:r>
              <w:t>Заверенные копии паспорта безопасности химической продукции, определяющие технические требования к качеству масла;</w:t>
            </w:r>
          </w:p>
          <w:p w:rsidR="000B084B" w:rsidRDefault="008816FE">
            <w:pPr>
              <w:pStyle w:val="aff0"/>
              <w:widowControl w:val="0"/>
              <w:numPr>
                <w:ilvl w:val="0"/>
                <w:numId w:val="10"/>
              </w:numPr>
              <w:ind w:left="209" w:firstLine="0"/>
            </w:pPr>
            <w:r>
              <w:t xml:space="preserve">Заверенные копии декларации о </w:t>
            </w:r>
            <w:r>
              <w:t>соответствии (согласно ТР ТС 030/2012)</w:t>
            </w:r>
          </w:p>
          <w:p w:rsidR="000B084B" w:rsidRDefault="008816FE">
            <w:pPr>
              <w:pStyle w:val="aff0"/>
              <w:widowControl w:val="0"/>
              <w:numPr>
                <w:ilvl w:val="0"/>
                <w:numId w:val="10"/>
              </w:numPr>
              <w:ind w:left="209" w:firstLine="0"/>
            </w:pPr>
            <w:r>
              <w:t>Паспорт на каждую выпущенную партию (указывается на бочках).</w:t>
            </w:r>
          </w:p>
          <w:p w:rsidR="000B084B" w:rsidRDefault="008816FE">
            <w:pPr>
              <w:pStyle w:val="aff0"/>
              <w:widowControl w:val="0"/>
              <w:numPr>
                <w:ilvl w:val="0"/>
                <w:numId w:val="10"/>
              </w:numPr>
              <w:ind w:left="209" w:firstLine="0"/>
            </w:pPr>
            <w:r>
              <w:t>Товарно-транспортная накладная формы №1-Т (для учёта товарно-материальных ценностей и расчётов за их перевозки).</w:t>
            </w:r>
          </w:p>
          <w:p w:rsidR="000B084B" w:rsidRDefault="008816FE">
            <w:pPr>
              <w:pStyle w:val="aff0"/>
              <w:widowControl w:val="0"/>
              <w:numPr>
                <w:ilvl w:val="0"/>
                <w:numId w:val="10"/>
              </w:numPr>
              <w:ind w:left="209" w:firstLine="0"/>
            </w:pPr>
            <w:r>
              <w:t>Товарная накладная унифицированной формы ТО</w:t>
            </w:r>
            <w:r>
              <w:t>РГ-12.</w:t>
            </w:r>
          </w:p>
          <w:p w:rsidR="000B084B" w:rsidRDefault="008816FE">
            <w:pPr>
              <w:pStyle w:val="aff0"/>
              <w:widowControl w:val="0"/>
              <w:numPr>
                <w:ilvl w:val="0"/>
                <w:numId w:val="10"/>
              </w:numPr>
              <w:ind w:left="209" w:firstLine="0"/>
            </w:pPr>
            <w:r>
              <w:t>Оригинал счета.</w:t>
            </w:r>
          </w:p>
        </w:tc>
        <w:tc>
          <w:tcPr>
            <w:tcW w:w="2990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3262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4456" w:type="dxa"/>
            <w:gridSpan w:val="5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обязательствам Поставщика, влияющим на исполнение договора</w:t>
            </w: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в отношении режима прохода на территорию заказчика и правила поведения на ней</w:t>
            </w:r>
          </w:p>
        </w:tc>
        <w:tc>
          <w:tcPr>
            <w:tcW w:w="2987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«Положением о пропускном и</w:t>
            </w:r>
            <w:r>
              <w:rPr>
                <w:sz w:val="24"/>
                <w:szCs w:val="24"/>
              </w:rPr>
              <w:t xml:space="preserve"> внутриобъектовом режимах филиала ПАО «РусГидро» - «Саратовская ГЭС», (приложение № 2 к настоящим Техническим требованиям).</w:t>
            </w:r>
          </w:p>
        </w:tc>
        <w:tc>
          <w:tcPr>
            <w:tcW w:w="2990" w:type="dxa"/>
            <w:shd w:val="clear" w:color="auto" w:fill="auto"/>
          </w:tcPr>
          <w:p w:rsidR="000B084B" w:rsidRDefault="008816FE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3262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в отношении процедуры приемки товаров, поступающих на склад заказчика</w:t>
            </w:r>
          </w:p>
        </w:tc>
        <w:tc>
          <w:tcPr>
            <w:tcW w:w="2987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входного </w:t>
            </w:r>
            <w:r>
              <w:rPr>
                <w:sz w:val="24"/>
                <w:szCs w:val="24"/>
              </w:rPr>
              <w:t>контроля всего Товара по мере его поступления на ГЭС, проводится в соответствии с положением «О входном контроле материально-технических ресурсов Филиала ПАО «РусГидро» – «Саратовская ГЭС», утвержденное приказом Филиала ПАО «РусГидро» - «Саратовская ГЭС» №</w:t>
            </w:r>
            <w:r>
              <w:rPr>
                <w:sz w:val="24"/>
                <w:szCs w:val="24"/>
              </w:rPr>
              <w:t>СарГЭС/94-639 от 06.12.2018 г. (приложение № 1 к настоящим Техническим требованиям).</w:t>
            </w:r>
          </w:p>
        </w:tc>
        <w:tc>
          <w:tcPr>
            <w:tcW w:w="2990" w:type="dxa"/>
            <w:shd w:val="clear" w:color="auto" w:fill="auto"/>
          </w:tcPr>
          <w:p w:rsidR="000B084B" w:rsidRDefault="008816FE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3262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</w:tr>
      <w:tr w:rsidR="000B084B">
        <w:tc>
          <w:tcPr>
            <w:tcW w:w="852" w:type="dxa"/>
            <w:vAlign w:val="center"/>
          </w:tcPr>
          <w:p w:rsidR="000B084B" w:rsidRDefault="000B084B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Применение национального режима</w:t>
            </w:r>
          </w:p>
        </w:tc>
        <w:tc>
          <w:tcPr>
            <w:tcW w:w="2987" w:type="dxa"/>
            <w:shd w:val="clear" w:color="auto" w:fill="auto"/>
          </w:tcPr>
          <w:p w:rsidR="000B084B" w:rsidRDefault="008816FE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Национальный режим предоставляется</w:t>
            </w:r>
          </w:p>
        </w:tc>
        <w:tc>
          <w:tcPr>
            <w:tcW w:w="2990" w:type="dxa"/>
            <w:shd w:val="clear" w:color="auto" w:fill="auto"/>
          </w:tcPr>
          <w:p w:rsidR="000B084B" w:rsidRDefault="008816FE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3262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0B084B" w:rsidRDefault="000B084B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0B084B" w:rsidRDefault="000B084B">
      <w:pPr>
        <w:sectPr w:rsidR="000B084B">
          <w:headerReference w:type="default" r:id="rId11"/>
          <w:headerReference w:type="first" r:id="rId12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0B084B" w:rsidRDefault="008816FE">
      <w:pPr>
        <w:pStyle w:val="1"/>
        <w:numPr>
          <w:ilvl w:val="0"/>
          <w:numId w:val="3"/>
        </w:numPr>
        <w:jc w:val="center"/>
      </w:pPr>
      <w:bookmarkStart w:id="31" w:name="_Toc54279844"/>
      <w:bookmarkStart w:id="32" w:name="_Toc54785625"/>
      <w:bookmarkStart w:id="33" w:name="_Toc189032998"/>
      <w:r>
        <w:lastRenderedPageBreak/>
        <w:t xml:space="preserve">Требования к </w:t>
      </w:r>
      <w:r>
        <w:t>документации по</w:t>
      </w:r>
      <w:r>
        <w:rPr>
          <w:lang w:val="ru-RU"/>
        </w:rPr>
        <w:t xml:space="preserve"> </w:t>
      </w:r>
      <w:r>
        <w:t>ценообразованию на этапе закупки</w:t>
      </w:r>
      <w:bookmarkEnd w:id="31"/>
      <w:bookmarkEnd w:id="32"/>
      <w:bookmarkEnd w:id="33"/>
    </w:p>
    <w:p w:rsidR="000B084B" w:rsidRDefault="008816FE">
      <w:pPr>
        <w:numPr>
          <w:ilvl w:val="1"/>
          <w:numId w:val="9"/>
        </w:numPr>
        <w:spacing w:after="12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 xml:space="preserve">В обоснование стоимости своей заявки Участник предоставляет Коммерческое предложение по форме </w:t>
      </w:r>
      <w:bookmarkStart w:id="34" w:name="_Hlk88325985"/>
      <w:r>
        <w:rPr>
          <w:bCs/>
          <w:iCs/>
          <w:sz w:val="24"/>
          <w:szCs w:val="24"/>
          <w:lang w:eastAsia="x-none"/>
        </w:rPr>
        <w:t>(с учетом прилагаемой к ней инструкции по заполнению)</w:t>
      </w:r>
      <w:bookmarkEnd w:id="34"/>
      <w:r>
        <w:rPr>
          <w:bCs/>
          <w:iCs/>
          <w:sz w:val="24"/>
          <w:szCs w:val="24"/>
          <w:lang w:eastAsia="x-none"/>
        </w:rPr>
        <w:t>, приведенной в Документации о закупке.</w:t>
      </w:r>
      <w:bookmarkStart w:id="35" w:name="_Hlk88327292"/>
    </w:p>
    <w:p w:rsidR="000B084B" w:rsidRDefault="008816FE">
      <w:pPr>
        <w:numPr>
          <w:ilvl w:val="1"/>
          <w:numId w:val="9"/>
        </w:numPr>
        <w:spacing w:after="12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Дополнительные докум</w:t>
      </w:r>
      <w:r>
        <w:rPr>
          <w:bCs/>
          <w:iCs/>
          <w:sz w:val="24"/>
          <w:szCs w:val="24"/>
          <w:lang w:eastAsia="x-none"/>
        </w:rPr>
        <w:t>енты по ценообразованию</w:t>
      </w:r>
      <w:bookmarkEnd w:id="35"/>
      <w:r>
        <w:rPr>
          <w:bCs/>
          <w:iCs/>
          <w:sz w:val="24"/>
          <w:szCs w:val="24"/>
          <w:lang w:eastAsia="x-none"/>
        </w:rPr>
        <w:t xml:space="preserve"> в состав заявки не включаются.</w:t>
      </w:r>
    </w:p>
    <w:p w:rsidR="000B084B" w:rsidRDefault="008816FE">
      <w:pPr>
        <w:pStyle w:val="1"/>
        <w:numPr>
          <w:ilvl w:val="0"/>
          <w:numId w:val="3"/>
        </w:numPr>
        <w:ind w:left="426" w:hanging="426"/>
        <w:jc w:val="center"/>
      </w:pPr>
      <w:bookmarkStart w:id="36" w:name="_Toc189032999"/>
      <w:r>
        <w:t>Приложения:</w:t>
      </w:r>
      <w:bookmarkEnd w:id="36"/>
    </w:p>
    <w:p w:rsidR="000B084B" w:rsidRDefault="008816FE">
      <w:pPr>
        <w:ind w:left="284"/>
        <w:jc w:val="both"/>
        <w:rPr>
          <w:sz w:val="24"/>
        </w:rPr>
      </w:pPr>
      <w:r>
        <w:rPr>
          <w:bCs/>
          <w:sz w:val="24"/>
        </w:rPr>
        <w:t>Приложение № 1</w:t>
      </w:r>
      <w:r>
        <w:rPr>
          <w:sz w:val="24"/>
        </w:rPr>
        <w:t xml:space="preserve"> Положение «О входном контроле материально-технических ресурсов Филиала ПАО «РусГидро» - «Саратовская ГЭС», утвержденное приказом Филиала ПАО «РусГидро» - «Саратовская ГЭС» №С</w:t>
      </w:r>
      <w:r>
        <w:rPr>
          <w:sz w:val="24"/>
        </w:rPr>
        <w:t>арГЭС/94-639 от 06.12.2018 г.</w:t>
      </w:r>
    </w:p>
    <w:p w:rsidR="000B084B" w:rsidRDefault="008816FE">
      <w:pPr>
        <w:ind w:left="284"/>
        <w:jc w:val="both"/>
        <w:rPr>
          <w:sz w:val="24"/>
        </w:rPr>
      </w:pPr>
      <w:r>
        <w:rPr>
          <w:bCs/>
          <w:sz w:val="24"/>
        </w:rPr>
        <w:t>Приложение № 2</w:t>
      </w:r>
      <w:r>
        <w:rPr>
          <w:sz w:val="24"/>
        </w:rPr>
        <w:t xml:space="preserve"> </w:t>
      </w:r>
      <w:r>
        <w:rPr>
          <w:sz w:val="24"/>
          <w:szCs w:val="24"/>
        </w:rPr>
        <w:t>«Положение о пропускном и внутриобъектовом режимах филиала ПАО «РусГидро» - «Саратовская ГЭС».</w:t>
      </w:r>
    </w:p>
    <w:p w:rsidR="000B084B" w:rsidRDefault="000B084B">
      <w:pPr>
        <w:ind w:left="284"/>
        <w:jc w:val="both"/>
        <w:rPr>
          <w:bCs/>
          <w:sz w:val="24"/>
        </w:rPr>
      </w:pPr>
    </w:p>
    <w:p w:rsidR="000B084B" w:rsidRDefault="000B084B">
      <w:pPr>
        <w:rPr>
          <w:lang w:eastAsia="x-none"/>
        </w:rPr>
      </w:pPr>
    </w:p>
    <w:sectPr w:rsidR="000B084B">
      <w:headerReference w:type="default" r:id="rId13"/>
      <w:headerReference w:type="first" r:id="rId14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816FE">
      <w:r>
        <w:separator/>
      </w:r>
    </w:p>
  </w:endnote>
  <w:endnote w:type="continuationSeparator" w:id="0">
    <w:p w:rsidR="00000000" w:rsidRDefault="0088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816FE">
      <w:r>
        <w:separator/>
      </w:r>
    </w:p>
  </w:footnote>
  <w:footnote w:type="continuationSeparator" w:id="0">
    <w:p w:rsidR="00000000" w:rsidRDefault="00881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4B" w:rsidRDefault="008816FE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B084B" w:rsidRDefault="008816FE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4B" w:rsidRDefault="008816FE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4B" w:rsidRDefault="000B084B">
    <w:pPr>
      <w:pStyle w:val="aff5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4B" w:rsidRDefault="008816FE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4B" w:rsidRDefault="000B084B">
    <w:pPr>
      <w:pStyle w:val="aff5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4B" w:rsidRDefault="008816FE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4B" w:rsidRDefault="000B084B">
    <w:pPr>
      <w:pStyle w:val="aff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C4A01"/>
    <w:multiLevelType w:val="multilevel"/>
    <w:tmpl w:val="B596CF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A40977"/>
    <w:multiLevelType w:val="multilevel"/>
    <w:tmpl w:val="8B0E2BD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8E65EC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3EDB0DF7"/>
    <w:multiLevelType w:val="multilevel"/>
    <w:tmpl w:val="C7746422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4" w15:restartNumberingAfterBreak="0">
    <w:nsid w:val="50EA59CC"/>
    <w:multiLevelType w:val="multilevel"/>
    <w:tmpl w:val="585AF5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5AD90B5E"/>
    <w:multiLevelType w:val="multilevel"/>
    <w:tmpl w:val="7472AC1A"/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</w:lvl>
  </w:abstractNum>
  <w:abstractNum w:abstractNumId="6" w15:restartNumberingAfterBreak="0">
    <w:nsid w:val="615002B3"/>
    <w:multiLevelType w:val="multilevel"/>
    <w:tmpl w:val="8FBCC408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0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8AE38AC"/>
    <w:multiLevelType w:val="multilevel"/>
    <w:tmpl w:val="C9BA7248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8" w15:restartNumberingAfterBreak="0">
    <w:nsid w:val="6C3868D2"/>
    <w:multiLevelType w:val="multilevel"/>
    <w:tmpl w:val="393E7E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4633CF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776002CB"/>
    <w:multiLevelType w:val="multilevel"/>
    <w:tmpl w:val="9C0017A0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3"/>
  </w:num>
  <w:num w:numId="5">
    <w:abstractNumId w:val="10"/>
  </w:num>
  <w:num w:numId="6">
    <w:abstractNumId w:val="4"/>
  </w:num>
  <w:num w:numId="7">
    <w:abstractNumId w:val="9"/>
  </w:num>
  <w:num w:numId="8">
    <w:abstractNumId w:val="2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84B"/>
    <w:rsid w:val="000B084B"/>
    <w:rsid w:val="0088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DA7DE"/>
  <w15:docId w15:val="{66BD7711-8AD9-409C-B6B9-51ADE249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basedOn w:val="31"/>
    <w:next w:val="a3"/>
    <w:link w:val="10"/>
    <w:qFormat/>
    <w:rsid w:val="00353A27"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1">
    <w:name w:val="heading 3"/>
    <w:basedOn w:val="a3"/>
    <w:next w:val="a3"/>
    <w:link w:val="32"/>
    <w:autoRedefine/>
    <w:qFormat/>
    <w:rsid w:val="00035E96"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1"/>
    <w:next w:val="a3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D561D9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B714B0"/>
    <w:rPr>
      <w:sz w:val="16"/>
      <w:szCs w:val="16"/>
    </w:rPr>
  </w:style>
  <w:style w:type="character" w:styleId="ac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uiPriority w:val="99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semiHidden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sid w:val="003879D4"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sid w:val="00C36F30"/>
    <w:rPr>
      <w:sz w:val="16"/>
      <w:szCs w:val="16"/>
    </w:rPr>
  </w:style>
  <w:style w:type="character" w:customStyle="1" w:styleId="affc">
    <w:name w:val="Ссылка указателя"/>
    <w:qFormat/>
  </w:style>
  <w:style w:type="paragraph" w:styleId="affd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e">
    <w:name w:val="List"/>
    <w:basedOn w:val="afe"/>
  </w:style>
  <w:style w:type="paragraph" w:styleId="afff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0">
    <w:name w:val="index heading"/>
    <w:basedOn w:val="affd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d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d"/>
    <w:qFormat/>
  </w:style>
  <w:style w:type="paragraph" w:customStyle="1" w:styleId="caption111">
    <w:name w:val="caption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affd"/>
    <w:qFormat/>
  </w:style>
  <w:style w:type="paragraph" w:customStyle="1" w:styleId="afff1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uiPriority w:val="99"/>
    <w:rsid w:val="00D561D9"/>
    <w:rPr>
      <w:sz w:val="20"/>
      <w:szCs w:val="20"/>
    </w:rPr>
  </w:style>
  <w:style w:type="paragraph" w:customStyle="1" w:styleId="16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2">
    <w:name w:val="Колонтитул"/>
    <w:basedOn w:val="a3"/>
    <w:qFormat/>
  </w:style>
  <w:style w:type="paragraph" w:styleId="aff5">
    <w:name w:val="header"/>
    <w:basedOn w:val="a3"/>
    <w:link w:val="aff4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3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4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7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5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6">
    <w:name w:val="Раздел регламента"/>
    <w:basedOn w:val="a3"/>
    <w:qFormat/>
    <w:rsid w:val="00E228FA"/>
  </w:style>
  <w:style w:type="paragraph" w:customStyle="1" w:styleId="afff7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8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semiHidden/>
    <w:qFormat/>
    <w:rsid w:val="00B714B0"/>
    <w:rPr>
      <w:sz w:val="20"/>
      <w:szCs w:val="20"/>
    </w:rPr>
  </w:style>
  <w:style w:type="paragraph" w:styleId="afff9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8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a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b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11">
    <w:name w:val="caption111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c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d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0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e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0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1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0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2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3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4">
    <w:name w:val="Содержимое врезки"/>
    <w:basedOn w:val="a3"/>
    <w:qFormat/>
  </w:style>
  <w:style w:type="paragraph" w:customStyle="1" w:styleId="affff5">
    <w:name w:val="Содержимое таблицы"/>
    <w:basedOn w:val="a3"/>
    <w:qFormat/>
    <w:pPr>
      <w:widowControl w:val="0"/>
      <w:suppressLineNumbers/>
    </w:pPr>
  </w:style>
  <w:style w:type="paragraph" w:customStyle="1" w:styleId="affff6">
    <w:name w:val="Заголовок таблицы"/>
    <w:basedOn w:val="affff5"/>
    <w:qFormat/>
    <w:pPr>
      <w:jc w:val="center"/>
    </w:pPr>
    <w:rPr>
      <w:b/>
      <w:bCs/>
    </w:rPr>
  </w:style>
  <w:style w:type="numbering" w:customStyle="1" w:styleId="1b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7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3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625CC-4D82-4134-A359-21A611F56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9</Pages>
  <Words>1300</Words>
  <Characters>7411</Characters>
  <Application>Microsoft Office Word</Application>
  <DocSecurity>0</DocSecurity>
  <Lines>61</Lines>
  <Paragraphs>17</Paragraphs>
  <ScaleCrop>false</ScaleCrop>
  <Company>Microsoft</Company>
  <LinksUpToDate>false</LinksUpToDate>
  <CharactersWithSpaces>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Лукьянов Эдуард Юрьевич</cp:lastModifiedBy>
  <cp:revision>6</cp:revision>
  <cp:lastPrinted>2006-07-26T14:04:00Z</cp:lastPrinted>
  <dcterms:created xsi:type="dcterms:W3CDTF">2026-03-16T11:56:00Z</dcterms:created>
  <dcterms:modified xsi:type="dcterms:W3CDTF">2026-08-27T10:03:00Z</dcterms:modified>
  <dc:language>ru-RU</dc:language>
</cp:coreProperties>
</file>